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0C" w:rsidRPr="00F4560C" w:rsidRDefault="00F4560C" w:rsidP="00F4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spellStart"/>
      <w:r w:rsidRPr="00F456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Style Painting</w:t>
      </w:r>
    </w:p>
    <w:bookmarkEnd w:id="0"/>
    <w:p w:rsidR="00F4560C" w:rsidRPr="00F4560C" w:rsidRDefault="00F4560C" w:rsidP="00F4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560C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(which can also be pronounced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Rimpa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) was a key part of the revival in the </w:t>
      </w:r>
      <w:hyperlink r:id="rId5" w:history="1">
        <w:r w:rsidRPr="00F4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Edo period</w:t>
        </w:r>
      </w:hyperlink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of indigenous Japanese artistic interests described by the term </w:t>
      </w:r>
      <w:hyperlink r:id="rId6" w:history="1">
        <w:proofErr w:type="spellStart"/>
        <w:r w:rsidRPr="00F4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yamato</w:t>
        </w:r>
        <w:proofErr w:type="spellEnd"/>
        <w:r w:rsidRPr="00F4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-e</w:t>
        </w:r>
      </w:hyperlink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. Paintings, textiles, ceramics, and </w:t>
      </w:r>
      <w:hyperlink r:id="rId7" w:history="1">
        <w:proofErr w:type="spellStart"/>
        <w:r w:rsidRPr="00F4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lacquerwares</w:t>
        </w:r>
        <w:proofErr w:type="spellEnd"/>
      </w:hyperlink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were decorated by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artists with vibrant colors applied in a highly decorative and patterned manner. Favored themes, which often contained evocative references to </w:t>
      </w:r>
      <w:hyperlink r:id="rId8" w:history="1">
        <w:r w:rsidRPr="00F4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nature and the seasons</w:t>
        </w:r>
      </w:hyperlink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, were drawn from Japanese literature, notably </w:t>
      </w:r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Tale of </w:t>
      </w:r>
      <w:proofErr w:type="spellStart"/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>Genji</w:t>
      </w:r>
      <w:proofErr w:type="spellEnd"/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The Tales of </w:t>
      </w:r>
      <w:proofErr w:type="spellStart"/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>Ise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>, and Heian-period poems composed by courtiers.</w:t>
      </w:r>
    </w:p>
    <w:p w:rsidR="00F4560C" w:rsidRPr="00F4560C" w:rsidRDefault="00F4560C" w:rsidP="00F4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0C" w:rsidRPr="00F4560C" w:rsidRDefault="00F4560C" w:rsidP="00F4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Favored themes, which often contained evocative references to nature and the seasons, were drawn from Japanese literature. </w:t>
      </w:r>
    </w:p>
    <w:p w:rsidR="00F4560C" w:rsidRPr="00F4560C" w:rsidRDefault="00F4560C" w:rsidP="00F4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Two of the most important participants in this revival were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Hon'ami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Koetsu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(1558–1637) and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Tawaraya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Sotatsu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(d. ca. 1640). Both were upper-class Kyoto merchants, a group known as </w:t>
      </w:r>
      <w:proofErr w:type="spellStart"/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>machishu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, who allied themselves with the culturally </w:t>
      </w:r>
      <w:proofErr w:type="gramStart"/>
      <w:r w:rsidRPr="00F4560C">
        <w:rPr>
          <w:rFonts w:ascii="Times New Roman" w:eastAsia="Times New Roman" w:hAnsi="Times New Roman" w:cs="Times New Roman"/>
          <w:sz w:val="24"/>
          <w:szCs w:val="24"/>
        </w:rPr>
        <w:t>influential</w:t>
      </w:r>
      <w:proofErr w:type="gram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yet impoverished nobility, who spearheaded the call for a return to aristocratic ideals of the late </w:t>
      </w:r>
      <w:hyperlink r:id="rId9" w:history="1">
        <w:r w:rsidRPr="00F4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Heian period</w:t>
        </w:r>
      </w:hyperlink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. While adept in several media,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Koetsu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is best known for his fluid and elegant calligraphy, inspired by Heian examples.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Sotatsu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is thought to have been a professional painter who revived classical </w:t>
      </w:r>
      <w:proofErr w:type="spellStart"/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>yamato</w:t>
      </w:r>
      <w:proofErr w:type="spellEnd"/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>-e</w:t>
      </w:r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themes and images and infused them with a new stylization, drama, and emphasis on surface decoration. These men collaborated successfully to combine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Koetsu's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graceful calligraphy written on top of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Sotatsu's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decorative paintings, producing objects with a strong sense of rhythm, pattern upon pattern, and refined elegance. While these artworks understandably appealed to imperial patrons, they also attracted a number of </w:t>
      </w:r>
      <w:hyperlink r:id="rId10" w:history="1">
        <w:r w:rsidRPr="00F4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samurai</w:t>
        </w:r>
      </w:hyperlink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clients, who appreciated the sophistication of the court and often had close ties with the nobility. </w:t>
      </w:r>
      <w:r w:rsidRPr="00F4560C">
        <w:rPr>
          <w:rFonts w:ascii="Times New Roman" w:eastAsia="Times New Roman" w:hAnsi="Times New Roman" w:cs="Times New Roman"/>
          <w:sz w:val="24"/>
          <w:szCs w:val="24"/>
        </w:rPr>
        <w:br/>
      </w:r>
      <w:r w:rsidRPr="00F4560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is a bit of a misnomer in that the term identifies artists who worked in a particular style, occasionally together, but did not form an organized or hereditary school. Although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traces its origins to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Koetsu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Sotatsu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>, it derives its name (</w:t>
      </w:r>
      <w:r w:rsidRPr="00F4560C">
        <w:rPr>
          <w:rFonts w:ascii="Times New Roman" w:eastAsia="Times New Roman" w:hAnsi="Times New Roman" w:cs="Times New Roman"/>
          <w:i/>
          <w:iCs/>
          <w:sz w:val="24"/>
          <w:szCs w:val="24"/>
        </w:rPr>
        <w:t>pa</w:t>
      </w:r>
      <w:r w:rsidRPr="00F4560C">
        <w:rPr>
          <w:rFonts w:ascii="Times New Roman" w:eastAsia="Times New Roman" w:hAnsi="Times New Roman" w:cs="Times New Roman"/>
          <w:sz w:val="24"/>
          <w:szCs w:val="24"/>
        </w:rPr>
        <w:t>, or school, of [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F4560C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proofErr w:type="gram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) from Ogata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Korin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(1658–1716).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Korin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and his brother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Kenzan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(1663–1743) were members of a Kyoto family of textile merchants that serviced samurai, a few nobility, and city dwellers. Distantly related to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Koetsu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, the Ogata family owned a number of objects made by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Sotatsu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Koetsu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Korin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studied carefully. Working in vivid colors or ink monochrome, often on gold ground, the prolific and versatile artist developed a painting style that was more abstracted and simplified than the compositions of his predecessors.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Korin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used his decorative and bold designs not only to ornament paintings but also for textiles,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lacquerwares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, and ceramics. Transmitted by means of pattern books and manuals, the work of the Ogata brothers inspired numerous other craftsmen. </w:t>
      </w:r>
      <w:r w:rsidRPr="00F4560C">
        <w:rPr>
          <w:rFonts w:ascii="Times New Roman" w:eastAsia="Times New Roman" w:hAnsi="Times New Roman" w:cs="Times New Roman"/>
          <w:sz w:val="24"/>
          <w:szCs w:val="24"/>
        </w:rPr>
        <w:br/>
      </w:r>
      <w:r w:rsidRPr="00F4560C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560C">
        <w:rPr>
          <w:rFonts w:ascii="Times New Roman" w:eastAsia="Times New Roman" w:hAnsi="Times New Roman" w:cs="Times New Roman"/>
          <w:sz w:val="24"/>
          <w:szCs w:val="24"/>
        </w:rPr>
        <w:t>school's</w:t>
      </w:r>
      <w:proofErr w:type="gram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popularity was revived in the early nineteenth century, largely due to the work of the painter Sakai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Hoitsu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(1761–1828), who succeeded in establishing the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school in Edo. A member of a samurai family who had patronized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Korin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Hoitsu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intensively studied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Korin's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artworks. However, he shifted the themes on which he focused, concentrating on natural images, especially representations of the four seasons, rather than scenes from classical literature. He also brought a greater attention to detail in his painting style.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Hoitsu's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chief student Suzuki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Kiitsu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(1796–1858) introduced a greater sense of naturalism to his representations of flowers and plants. The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style continued to influence artists working in a variety of media throughout the nineteenth and twentieth centuries. However, the style associated with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changed as other movements, such as </w:t>
      </w:r>
      <w:hyperlink r:id="rId11" w:history="1">
        <w:proofErr w:type="spellStart"/>
        <w:r w:rsidRPr="00F4560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ukiyo</w:t>
        </w:r>
        <w:proofErr w:type="spellEnd"/>
        <w:r w:rsidRPr="00F4560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-e</w:t>
        </w:r>
      </w:hyperlink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Nihonga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, were blended with it, altering and diluting the </w:t>
      </w:r>
      <w:proofErr w:type="spellStart"/>
      <w:r w:rsidRPr="00F4560C">
        <w:rPr>
          <w:rFonts w:ascii="Times New Roman" w:eastAsia="Times New Roman" w:hAnsi="Times New Roman" w:cs="Times New Roman"/>
          <w:sz w:val="24"/>
          <w:szCs w:val="24"/>
        </w:rPr>
        <w:t>Rinpa</w:t>
      </w:r>
      <w:proofErr w:type="spellEnd"/>
      <w:r w:rsidRPr="00F4560C">
        <w:rPr>
          <w:rFonts w:ascii="Times New Roman" w:eastAsia="Times New Roman" w:hAnsi="Times New Roman" w:cs="Times New Roman"/>
          <w:sz w:val="24"/>
          <w:szCs w:val="24"/>
        </w:rPr>
        <w:t xml:space="preserve"> style and its devotion to classical themes and characteristics.</w:t>
      </w:r>
    </w:p>
    <w:p w:rsidR="00B76566" w:rsidRDefault="00B76566"/>
    <w:sectPr w:rsidR="00B76566" w:rsidSect="0045140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0C"/>
    <w:rsid w:val="00451400"/>
    <w:rsid w:val="007F3F36"/>
    <w:rsid w:val="00B76566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museum.org/toah/hd/seim/hd_seim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museum.org/toah/hd/elac/hd_elac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museum.org/toah/hd/yama/hd_yama.htm" TargetMode="External"/><Relationship Id="rId11" Type="http://schemas.openxmlformats.org/officeDocument/2006/relationships/hyperlink" Target="http://www.metmuseum.org/toah/hd/ukiy/hd_ukiy.htm" TargetMode="External"/><Relationship Id="rId5" Type="http://schemas.openxmlformats.org/officeDocument/2006/relationships/hyperlink" Target="http://www.metmuseum.org/toah/hd/edop/hd_edop.htm" TargetMode="External"/><Relationship Id="rId10" Type="http://schemas.openxmlformats.org/officeDocument/2006/relationships/hyperlink" Target="http://www.metmuseum.org/toah/hd/samu/hd_sam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museum.org/toah/hd/heia/hd_he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Kaaren</cp:lastModifiedBy>
  <cp:revision>1</cp:revision>
  <cp:lastPrinted>2012-12-01T13:41:00Z</cp:lastPrinted>
  <dcterms:created xsi:type="dcterms:W3CDTF">2012-12-01T13:40:00Z</dcterms:created>
  <dcterms:modified xsi:type="dcterms:W3CDTF">2012-12-01T13:41:00Z</dcterms:modified>
</cp:coreProperties>
</file>